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AE10" w14:textId="21FA784D" w:rsidR="0081158F" w:rsidRPr="00407E2A" w:rsidRDefault="00DE7A93">
      <w:pPr>
        <w:rPr>
          <w:b/>
          <w:bCs/>
        </w:rPr>
      </w:pPr>
      <w:bookmarkStart w:id="0" w:name="_GoBack"/>
      <w:bookmarkEnd w:id="0"/>
      <w:r w:rsidRPr="00407E2A">
        <w:rPr>
          <w:b/>
          <w:bCs/>
        </w:rPr>
        <w:t>Kinase</w:t>
      </w:r>
      <w:r w:rsidR="004000AD" w:rsidRPr="00407E2A">
        <w:rPr>
          <w:b/>
          <w:bCs/>
        </w:rPr>
        <w:t>s</w:t>
      </w:r>
    </w:p>
    <w:p w14:paraId="5C3E6192" w14:textId="77777777" w:rsidR="00DE7A93" w:rsidRDefault="00DE7A93"/>
    <w:tbl>
      <w:tblPr>
        <w:tblW w:w="1422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980"/>
        <w:gridCol w:w="1800"/>
        <w:gridCol w:w="2070"/>
        <w:gridCol w:w="1890"/>
        <w:gridCol w:w="1890"/>
        <w:gridCol w:w="2160"/>
      </w:tblGrid>
      <w:tr w:rsidR="00E31A4C" w:rsidRPr="0056159C" w14:paraId="2F7555B7" w14:textId="77777777" w:rsidTr="00354B72">
        <w:trPr>
          <w:trHeight w:val="100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270D546" w14:textId="7DB2B950" w:rsidR="00E31A4C" w:rsidRDefault="00E31A4C" w:rsidP="00534069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Gene Knockout</w:t>
            </w:r>
            <w:r>
              <w:rPr>
                <w:b/>
                <w:lang w:bidi="x-none"/>
              </w:rPr>
              <w:t>/</w:t>
            </w:r>
          </w:p>
          <w:p w14:paraId="6031FBFF" w14:textId="4C7C3EED" w:rsidR="00E31A4C" w:rsidRPr="004000AD" w:rsidRDefault="00E31A4C" w:rsidP="00534069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Overexpression*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89D5D4B" w14:textId="77777777" w:rsidR="00E31A4C" w:rsidRPr="004000AD" w:rsidRDefault="00E31A4C" w:rsidP="004000AD">
            <w:pPr>
              <w:ind w:left="-86" w:right="-48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Background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110985" w14:textId="77777777" w:rsidR="00E31A4C" w:rsidRPr="004000AD" w:rsidRDefault="00E31A4C" w:rsidP="00B45708">
            <w:pPr>
              <w:ind w:left="-86" w:right="-48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Operant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A71625" w14:textId="77777777" w:rsidR="00E31A4C" w:rsidRPr="004000AD" w:rsidRDefault="00E31A4C" w:rsidP="004000AD">
            <w:pPr>
              <w:ind w:left="-86" w:right="-48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2BC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04877F2" w14:textId="19E5528A" w:rsidR="00E31A4C" w:rsidRPr="004000AD" w:rsidRDefault="00E31A4C" w:rsidP="004000AD">
            <w:pPr>
              <w:ind w:left="-86" w:right="-48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CIE-2BC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50979AF" w14:textId="3E1B819F" w:rsidR="00E31A4C" w:rsidRPr="004000AD" w:rsidRDefault="00E31A4C" w:rsidP="004000AD">
            <w:pPr>
              <w:ind w:left="-86" w:right="-48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DID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78E0C29" w14:textId="130029C1" w:rsidR="00E31A4C" w:rsidRPr="004000AD" w:rsidRDefault="00E31A4C" w:rsidP="004000AD">
            <w:pPr>
              <w:ind w:left="-86" w:right="-48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Reference</w:t>
            </w:r>
            <w:r>
              <w:rPr>
                <w:b/>
                <w:lang w:bidi="x-none"/>
              </w:rPr>
              <w:t>s</w:t>
            </w:r>
          </w:p>
        </w:tc>
      </w:tr>
      <w:tr w:rsidR="00354B72" w:rsidRPr="004000AD" w14:paraId="6BAE335C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3A790FF2" w14:textId="21EB64BA" w:rsidR="00E31A4C" w:rsidRPr="003F5A28" w:rsidRDefault="00E31A4C" w:rsidP="008A5073">
            <w:pPr>
              <w:ind w:left="261" w:right="-40" w:hanging="261"/>
              <w:rPr>
                <w:sz w:val="22"/>
                <w:szCs w:val="22"/>
                <w:lang w:bidi="x-none"/>
              </w:rPr>
            </w:pPr>
            <w:proofErr w:type="spellStart"/>
            <w:r w:rsidRPr="003F5A28">
              <w:rPr>
                <w:sz w:val="22"/>
                <w:szCs w:val="22"/>
                <w:lang w:bidi="x-none"/>
              </w:rPr>
              <w:t>cAMP</w:t>
            </w:r>
            <w:proofErr w:type="spellEnd"/>
            <w:r w:rsidRPr="003F5A28">
              <w:rPr>
                <w:sz w:val="22"/>
                <w:szCs w:val="22"/>
                <w:lang w:bidi="x-none"/>
              </w:rPr>
              <w:t>-dependent protein kinase type II-</w:t>
            </w:r>
            <w:r w:rsidRPr="003F5A28">
              <w:rPr>
                <w:sz w:val="22"/>
                <w:szCs w:val="22"/>
                <w:lang w:bidi="x-none"/>
              </w:rPr>
              <w:sym w:font="Symbol" w:char="F062"/>
            </w:r>
            <w:r w:rsidRPr="003F5A28">
              <w:rPr>
                <w:sz w:val="22"/>
                <w:szCs w:val="22"/>
                <w:lang w:bidi="x-none"/>
              </w:rPr>
              <w:t xml:space="preserve"> regulatory subunit (</w:t>
            </w:r>
            <w:r w:rsidRPr="003F5A28">
              <w:rPr>
                <w:i/>
                <w:sz w:val="22"/>
                <w:szCs w:val="22"/>
                <w:lang w:bidi="x-none"/>
              </w:rPr>
              <w:t>Prkar2b</w:t>
            </w:r>
            <w:r w:rsidRPr="003F5A28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</w:tcPr>
          <w:p w14:paraId="51659267" w14:textId="23E96015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129/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0AE4AF1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797DCB00" w14:textId="54477642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1890" w:type="dxa"/>
          </w:tcPr>
          <w:p w14:paraId="05861304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9E1BBD4" w14:textId="372E47D2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3EFA589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Thiele et al., 2000 [21]</w:t>
            </w:r>
          </w:p>
        </w:tc>
      </w:tr>
      <w:tr w:rsidR="00354B72" w:rsidRPr="004000AD" w14:paraId="4898AE2D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14F55247" w14:textId="77777777" w:rsidR="00E31A4C" w:rsidRPr="004000AD" w:rsidRDefault="00E31A4C" w:rsidP="008A5073">
            <w:pPr>
              <w:ind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</w:tcPr>
          <w:p w14:paraId="22621907" w14:textId="1438C17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800" w:type="dxa"/>
            <w:shd w:val="clear" w:color="auto" w:fill="auto"/>
          </w:tcPr>
          <w:p w14:paraId="547662AE" w14:textId="590267E9" w:rsidR="00E31A4C" w:rsidRDefault="00E31A4C" w:rsidP="000E5F1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genotype/sex interactions</w:t>
            </w:r>
          </w:p>
          <w:p w14:paraId="2866F3F7" w14:textId="7CD23889" w:rsidR="00E31A4C" w:rsidRPr="004000AD" w:rsidRDefault="00E31A4C" w:rsidP="000E5F1F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0AA1D14" w14:textId="31D85BD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1890" w:type="dxa"/>
          </w:tcPr>
          <w:p w14:paraId="691FF18B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92A53A4" w14:textId="03943E20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7D7B071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Ferraro et al., 2006 [122]</w:t>
            </w:r>
          </w:p>
        </w:tc>
      </w:tr>
      <w:tr w:rsidR="00354B72" w:rsidRPr="004000AD" w14:paraId="4A857891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10128C60" w14:textId="77777777" w:rsidR="00E31A4C" w:rsidRPr="004000AD" w:rsidRDefault="00E31A4C" w:rsidP="008A5073">
            <w:pPr>
              <w:ind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</w:tcPr>
          <w:p w14:paraId="329FFAF8" w14:textId="2D9F3E3A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800" w:type="dxa"/>
            <w:shd w:val="clear" w:color="auto" w:fill="auto"/>
          </w:tcPr>
          <w:p w14:paraId="3E6BC97F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81DD8F7" w14:textId="53A3113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1890" w:type="dxa"/>
          </w:tcPr>
          <w:p w14:paraId="6658CAD3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C194EAD" w14:textId="098249E0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1EC1F9C" w14:textId="61AF615E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Fee et al., 2004 [134]</w:t>
            </w:r>
          </w:p>
        </w:tc>
      </w:tr>
      <w:tr w:rsidR="00354B72" w:rsidRPr="004000AD" w14:paraId="39770EBA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245EC6FF" w14:textId="77777777" w:rsidR="00E31A4C" w:rsidRPr="004000AD" w:rsidRDefault="00E31A4C" w:rsidP="008A5073">
            <w:pPr>
              <w:ind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</w:tcPr>
          <w:p w14:paraId="6304E586" w14:textId="740CC164" w:rsidR="00E31A4C" w:rsidRPr="004000AD" w:rsidRDefault="00E31A4C" w:rsidP="001A7BF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SvEv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4DE62B0F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585F3076" w14:textId="45186337" w:rsidR="00E31A4C" w:rsidRPr="004000AD" w:rsidRDefault="00E31A4C" w:rsidP="003F5A28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 males/females</w:t>
            </w:r>
          </w:p>
        </w:tc>
        <w:tc>
          <w:tcPr>
            <w:tcW w:w="1890" w:type="dxa"/>
          </w:tcPr>
          <w:p w14:paraId="33CA5B9E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6D3006C" w14:textId="7769E02F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7C41C1A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Fee et al., 2004 [134]</w:t>
            </w:r>
          </w:p>
        </w:tc>
      </w:tr>
      <w:tr w:rsidR="00354B72" w:rsidRPr="004000AD" w14:paraId="4C0FD239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277CC406" w14:textId="771A381B" w:rsidR="00E31A4C" w:rsidRPr="004000AD" w:rsidRDefault="00E31A4C" w:rsidP="008A5073">
            <w:pPr>
              <w:ind w:left="261" w:right="-40" w:hanging="261"/>
              <w:rPr>
                <w:sz w:val="22"/>
                <w:szCs w:val="22"/>
                <w:lang w:bidi="x-none"/>
              </w:rPr>
            </w:pPr>
            <w:r w:rsidRPr="003F5A28">
              <w:rPr>
                <w:sz w:val="22"/>
                <w:szCs w:val="22"/>
                <w:lang w:bidi="x-none"/>
              </w:rPr>
              <w:t xml:space="preserve">Protein kinase C (PKC) </w:t>
            </w:r>
            <w:r w:rsidRPr="003F5A28">
              <w:rPr>
                <w:sz w:val="22"/>
                <w:szCs w:val="22"/>
                <w:lang w:bidi="x-none"/>
              </w:rPr>
              <w:sym w:font="Symbol" w:char="F065"/>
            </w:r>
            <w:r w:rsidRPr="003F5A28">
              <w:rPr>
                <w:sz w:val="22"/>
                <w:szCs w:val="22"/>
                <w:lang w:bidi="x-none"/>
              </w:rPr>
              <w:t xml:space="preserve"> type (</w:t>
            </w:r>
            <w:proofErr w:type="spellStart"/>
            <w:r w:rsidRPr="003F5A28">
              <w:rPr>
                <w:i/>
                <w:sz w:val="22"/>
                <w:szCs w:val="22"/>
                <w:lang w:bidi="x-none"/>
              </w:rPr>
              <w:t>Prkce</w:t>
            </w:r>
            <w:proofErr w:type="spellEnd"/>
            <w:r w:rsidRPr="003F5A28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</w:tcPr>
          <w:p w14:paraId="7878D479" w14:textId="7EA76EBA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rFonts w:ascii="F00" w:hAnsi="F00" w:cs="F00"/>
                <w:sz w:val="22"/>
                <w:szCs w:val="22"/>
              </w:rPr>
              <w:t>B6</w:t>
            </w:r>
            <w:r w:rsidRPr="004000AD">
              <w:rPr>
                <w:rFonts w:ascii="F00" w:hAnsi="F00" w:cs="F00"/>
                <w:sz w:val="22"/>
                <w:szCs w:val="22"/>
              </w:rPr>
              <w:t xml:space="preserve"> </w:t>
            </w:r>
            <w:r w:rsidRPr="004000AD">
              <w:rPr>
                <w:rFonts w:ascii="F00" w:hAnsi="F00" w:cs="F00"/>
                <w:sz w:val="22"/>
                <w:szCs w:val="22"/>
              </w:rPr>
              <w:sym w:font="Symbol" w:char="F0B4"/>
            </w:r>
            <w:r w:rsidRPr="004000AD">
              <w:rPr>
                <w:rFonts w:ascii="F00" w:hAnsi="F00" w:cs="F00"/>
                <w:sz w:val="22"/>
                <w:szCs w:val="22"/>
              </w:rPr>
              <w:t xml:space="preserve"> 129 </w:t>
            </w:r>
            <w:proofErr w:type="spellStart"/>
            <w:r w:rsidRPr="004000AD">
              <w:rPr>
                <w:rFonts w:ascii="F00" w:hAnsi="F00" w:cs="F00"/>
                <w:sz w:val="22"/>
                <w:szCs w:val="22"/>
              </w:rPr>
              <w:t>SvJae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7CD7A24" w14:textId="4C5948E2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</w:p>
          <w:p w14:paraId="4E7C0BEF" w14:textId="6BBC2905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ADE</w:t>
            </w:r>
          </w:p>
        </w:tc>
        <w:tc>
          <w:tcPr>
            <w:tcW w:w="2070" w:type="dxa"/>
            <w:shd w:val="clear" w:color="auto" w:fill="auto"/>
          </w:tcPr>
          <w:p w14:paraId="07E2B1E9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</w:tcPr>
          <w:p w14:paraId="56787F3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1ECFE235" w14:textId="75298FA4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825C553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Olive et al., 2000 [14]</w:t>
            </w:r>
          </w:p>
        </w:tc>
      </w:tr>
      <w:tr w:rsidR="00354B72" w:rsidRPr="004000AD" w14:paraId="5AA77E3D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1600C314" w14:textId="3A91420A" w:rsidR="00E31A4C" w:rsidRPr="004000AD" w:rsidRDefault="00E31A4C" w:rsidP="006C1BFC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</w:tcPr>
          <w:p w14:paraId="36489F19" w14:textId="666E6D85" w:rsidR="00E31A4C" w:rsidRPr="004000AD" w:rsidRDefault="00E31A4C" w:rsidP="0036022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 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SvJae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FVB/N</w:t>
            </w:r>
          </w:p>
        </w:tc>
        <w:tc>
          <w:tcPr>
            <w:tcW w:w="1800" w:type="dxa"/>
            <w:shd w:val="clear" w:color="auto" w:fill="auto"/>
          </w:tcPr>
          <w:p w14:paraId="1B0C4AD7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19FDBE5" w14:textId="2D22B28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</w:tcPr>
          <w:p w14:paraId="2B6E00B1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CC3A61A" w14:textId="67B5258A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8C7F8FA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Choi et al., 2002 [41]</w:t>
            </w:r>
          </w:p>
        </w:tc>
      </w:tr>
      <w:tr w:rsidR="00354B72" w:rsidRPr="004000AD" w14:paraId="4A1A741F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66A2C7D2" w14:textId="77777777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</w:tcPr>
          <w:p w14:paraId="0DD89F14" w14:textId="2A72771F" w:rsidR="00E31A4C" w:rsidRPr="004000AD" w:rsidRDefault="00E31A4C" w:rsidP="005E4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 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SvJae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A5B894C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4AF09F1" w14:textId="6E1C0C7F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</w:t>
            </w:r>
            <w:r w:rsidRPr="004000AD">
              <w:rPr>
                <w:sz w:val="22"/>
                <w:szCs w:val="22"/>
                <w:lang w:bidi="x-none"/>
              </w:rPr>
              <w:t>(23 h)</w:t>
            </w:r>
          </w:p>
        </w:tc>
        <w:tc>
          <w:tcPr>
            <w:tcW w:w="1890" w:type="dxa"/>
          </w:tcPr>
          <w:p w14:paraId="1D18781E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A1D3A84" w14:textId="361D4CCF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E5ABD3D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Hodge et al., 1999 [82]</w:t>
            </w:r>
          </w:p>
        </w:tc>
      </w:tr>
      <w:tr w:rsidR="00354B72" w:rsidRPr="004000AD" w14:paraId="20102478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73E5B47B" w14:textId="77777777" w:rsidR="00E31A4C" w:rsidRPr="004000AD" w:rsidRDefault="00E31A4C" w:rsidP="004000AD">
            <w:pPr>
              <w:ind w:right="-40" w:hanging="9"/>
              <w:rPr>
                <w:sz w:val="22"/>
                <w:szCs w:val="22"/>
                <w:vertAlign w:val="subscript"/>
                <w:lang w:bidi="x-none"/>
              </w:rPr>
            </w:pPr>
          </w:p>
        </w:tc>
        <w:tc>
          <w:tcPr>
            <w:tcW w:w="1980" w:type="dxa"/>
          </w:tcPr>
          <w:p w14:paraId="4E49D01D" w14:textId="28174816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 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SvJae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0C1C513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24B229E5" w14:textId="10242F4A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</w:t>
            </w:r>
            <w:r w:rsidRPr="004000AD">
              <w:rPr>
                <w:sz w:val="22"/>
                <w:szCs w:val="22"/>
                <w:lang w:bidi="x-none"/>
              </w:rPr>
              <w:t>(16 h)</w:t>
            </w:r>
          </w:p>
        </w:tc>
        <w:tc>
          <w:tcPr>
            <w:tcW w:w="1890" w:type="dxa"/>
          </w:tcPr>
          <w:p w14:paraId="729F67FD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1FDEE50" w14:textId="4EC4E559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5AC5A4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Olive et al., 2005 [85]</w:t>
            </w:r>
          </w:p>
        </w:tc>
      </w:tr>
      <w:tr w:rsidR="00354B72" w:rsidRPr="004000AD" w14:paraId="1023BE5C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2653DECB" w14:textId="77777777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</w:tcPr>
          <w:p w14:paraId="7A96EB5B" w14:textId="3A91A156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t>129S</w:t>
            </w:r>
            <w:r>
              <w:rPr>
                <w:sz w:val="22"/>
                <w:szCs w:val="22"/>
                <w:lang w:bidi="x-none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AD00B8E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7E3D5E2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</w:t>
            </w:r>
          </w:p>
          <w:p w14:paraId="6A58060C" w14:textId="0AC55C87" w:rsidR="00E31A4C" w:rsidRPr="004000AD" w:rsidRDefault="00E31A4C" w:rsidP="008160CB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post-tolerance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</w:tcPr>
          <w:p w14:paraId="0E90F88D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4DECF4CB" w14:textId="68653AE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677E1F2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Wallace et al., 2007 [112]</w:t>
            </w:r>
          </w:p>
        </w:tc>
      </w:tr>
      <w:tr w:rsidR="00354B72" w:rsidRPr="004000AD" w14:paraId="66ADAC61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464A80CD" w14:textId="1A9102FD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</w:tcPr>
          <w:p w14:paraId="333C06D9" w14:textId="303E09E9" w:rsidR="00E31A4C" w:rsidRPr="004000AD" w:rsidRDefault="00E31A4C" w:rsidP="006A7A7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>129</w:t>
            </w:r>
            <w:r>
              <w:rPr>
                <w:sz w:val="22"/>
                <w:szCs w:val="22"/>
                <w:lang w:bidi="x-none"/>
              </w:rPr>
              <w:t>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SvJae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0DF8C8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B1EB46A" w14:textId="20DCE0C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</w:tcPr>
          <w:p w14:paraId="797E501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3FC2824" w14:textId="6A9BE3C8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B9CBA8E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4000AD">
              <w:rPr>
                <w:sz w:val="22"/>
                <w:szCs w:val="22"/>
                <w:lang w:bidi="x-none"/>
              </w:rPr>
              <w:t>Besheer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 xml:space="preserve"> et al., 2006 [127]</w:t>
            </w:r>
          </w:p>
        </w:tc>
      </w:tr>
      <w:tr w:rsidR="00354B72" w:rsidRPr="004000AD" w14:paraId="7C4D0992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2FBAFA6D" w14:textId="77777777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</w:tcPr>
          <w:p w14:paraId="332604BC" w14:textId="6C39B6CE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</w:t>
            </w:r>
            <w:r>
              <w:rPr>
                <w:sz w:val="22"/>
                <w:szCs w:val="22"/>
                <w:lang w:bidi="x-none"/>
              </w:rPr>
              <w:t>S4</w:t>
            </w:r>
            <w:r w:rsidRPr="004000AD">
              <w:rPr>
                <w:sz w:val="22"/>
                <w:szCs w:val="22"/>
                <w:lang w:bidi="x-none"/>
              </w:rPr>
              <w:t>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</w:t>
            </w:r>
            <w:r>
              <w:rPr>
                <w:sz w:val="22"/>
                <w:szCs w:val="22"/>
                <w:lang w:bidi="x-none"/>
              </w:rPr>
              <w:t>Jae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49071AB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4659100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</w:tcPr>
          <w:p w14:paraId="2F346B1E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07788BB7" w14:textId="7DD3536D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(2 h), knockdown in amygdala</w:t>
            </w:r>
          </w:p>
        </w:tc>
        <w:tc>
          <w:tcPr>
            <w:tcW w:w="2160" w:type="dxa"/>
            <w:shd w:val="clear" w:color="auto" w:fill="auto"/>
          </w:tcPr>
          <w:p w14:paraId="36948F5F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4000AD">
              <w:rPr>
                <w:sz w:val="22"/>
                <w:szCs w:val="22"/>
                <w:lang w:bidi="x-none"/>
              </w:rPr>
              <w:t>Lesscher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 xml:space="preserve"> et al., 2009 [194]</w:t>
            </w:r>
          </w:p>
        </w:tc>
      </w:tr>
      <w:tr w:rsidR="00354B72" w:rsidRPr="004000AD" w14:paraId="590CDBB1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2725BC9C" w14:textId="77777777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</w:tcPr>
          <w:p w14:paraId="6DC16983" w14:textId="2A9621A1" w:rsidR="00E31A4C" w:rsidRPr="006F1825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C57BL/6J </w:t>
            </w:r>
            <w:r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val="el-GR" w:bidi="x-none"/>
              </w:rPr>
              <w:t>129S4</w:t>
            </w:r>
          </w:p>
        </w:tc>
        <w:tc>
          <w:tcPr>
            <w:tcW w:w="1800" w:type="dxa"/>
            <w:shd w:val="clear" w:color="auto" w:fill="auto"/>
          </w:tcPr>
          <w:p w14:paraId="2FF9B350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960CD1F" w14:textId="7FC6A00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males/females (24 h)</w:t>
            </w:r>
          </w:p>
        </w:tc>
        <w:tc>
          <w:tcPr>
            <w:tcW w:w="1890" w:type="dxa"/>
          </w:tcPr>
          <w:p w14:paraId="1B3A2482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1A9D58F" w14:textId="08FE34BE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B72AABC" w14:textId="7E498F5A" w:rsidR="00E31A4C" w:rsidRPr="004000AD" w:rsidRDefault="00E31A4C" w:rsidP="004F1F0E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Blasio et al., 2018 [329]</w:t>
            </w:r>
          </w:p>
        </w:tc>
      </w:tr>
      <w:tr w:rsidR="00354B72" w:rsidRPr="004000AD" w14:paraId="12BA0178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2A5EEFE6" w14:textId="77777777" w:rsidR="00E31A4C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  <w:t>PKC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67"/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3F5A28">
              <w:rPr>
                <w:sz w:val="22"/>
                <w:szCs w:val="22"/>
                <w:lang w:bidi="x-none"/>
              </w:rPr>
              <w:t>type (</w:t>
            </w:r>
            <w:proofErr w:type="spellStart"/>
            <w:r w:rsidRPr="003F5A28">
              <w:rPr>
                <w:i/>
                <w:sz w:val="22"/>
                <w:szCs w:val="22"/>
                <w:lang w:bidi="x-none"/>
              </w:rPr>
              <w:t>Prkcg</w:t>
            </w:r>
            <w:proofErr w:type="spellEnd"/>
            <w:r w:rsidRPr="003F5A28">
              <w:rPr>
                <w:sz w:val="22"/>
                <w:szCs w:val="22"/>
                <w:lang w:bidi="x-none"/>
              </w:rPr>
              <w:t>)</w:t>
            </w:r>
          </w:p>
          <w:p w14:paraId="1726138A" w14:textId="77777777" w:rsidR="00E31A4C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  <w:p w14:paraId="327532FB" w14:textId="2AC84577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PKC </w:t>
            </w:r>
            <w:r w:rsidRPr="004000AD">
              <w:rPr>
                <w:sz w:val="22"/>
                <w:szCs w:val="22"/>
                <w:lang w:bidi="x-none"/>
              </w:rPr>
              <w:sym w:font="Symbol" w:char="F07A"/>
            </w:r>
            <w:r>
              <w:rPr>
                <w:sz w:val="22"/>
                <w:szCs w:val="22"/>
                <w:lang w:bidi="x-none"/>
              </w:rPr>
              <w:t xml:space="preserve"> type (</w:t>
            </w:r>
            <w:proofErr w:type="spellStart"/>
            <w:r w:rsidRPr="004000AD">
              <w:rPr>
                <w:i/>
                <w:sz w:val="22"/>
                <w:szCs w:val="22"/>
                <w:lang w:bidi="x-none"/>
              </w:rPr>
              <w:t>Prkcz</w:t>
            </w:r>
            <w:proofErr w:type="spellEnd"/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</w:tcPr>
          <w:p w14:paraId="42DF5E22" w14:textId="77777777" w:rsidR="00E31A4C" w:rsidRDefault="00E31A4C" w:rsidP="002851C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SvEvTac</w:t>
            </w:r>
            <w:proofErr w:type="spellEnd"/>
          </w:p>
          <w:p w14:paraId="0E2B04B6" w14:textId="77777777" w:rsidR="00E31A4C" w:rsidRDefault="00E31A4C" w:rsidP="002851C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55319449" w14:textId="23608319" w:rsidR="00E31A4C" w:rsidRPr="004000AD" w:rsidRDefault="00E31A4C" w:rsidP="002851C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>129S6/</w:t>
            </w:r>
            <w:proofErr w:type="spellStart"/>
            <w:r>
              <w:rPr>
                <w:sz w:val="22"/>
                <w:szCs w:val="22"/>
                <w:lang w:bidi="x-none"/>
              </w:rPr>
              <w:t>SvEvTac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A128AD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038409C4" w14:textId="4153DB9A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 males/females</w:t>
            </w:r>
          </w:p>
          <w:p w14:paraId="7B7762B1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4A6BFAE3" w14:textId="74EAB9D5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t>(</w:t>
            </w:r>
            <w:r>
              <w:rPr>
                <w:sz w:val="22"/>
                <w:szCs w:val="22"/>
                <w:lang w:bidi="x-none"/>
              </w:rPr>
              <w:t xml:space="preserve">4, 24 h </w:t>
            </w:r>
            <w:r w:rsidRPr="004000AD">
              <w:rPr>
                <w:sz w:val="22"/>
                <w:szCs w:val="22"/>
                <w:lang w:bidi="x-none"/>
              </w:rPr>
              <w:t>intermittent)</w:t>
            </w:r>
          </w:p>
          <w:p w14:paraId="6465172C" w14:textId="6649013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— </w:t>
            </w:r>
            <w:r w:rsidRPr="004000AD">
              <w:rPr>
                <w:sz w:val="22"/>
                <w:szCs w:val="22"/>
                <w:lang w:bidi="x-none"/>
              </w:rPr>
              <w:t>continuous</w:t>
            </w:r>
          </w:p>
        </w:tc>
        <w:tc>
          <w:tcPr>
            <w:tcW w:w="1890" w:type="dxa"/>
          </w:tcPr>
          <w:p w14:paraId="678A722E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AA088BF" w14:textId="20974DA5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7BAAF11B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1536CE40" w14:textId="67F0A466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— (4 h)</w:t>
            </w:r>
          </w:p>
        </w:tc>
        <w:tc>
          <w:tcPr>
            <w:tcW w:w="2160" w:type="dxa"/>
            <w:shd w:val="clear" w:color="auto" w:fill="auto"/>
          </w:tcPr>
          <w:p w14:paraId="28C8141F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 xml:space="preserve">Bowers and 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Wehner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>, 2001 [84]</w:t>
            </w:r>
          </w:p>
          <w:p w14:paraId="729329DD" w14:textId="1EB8A582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Lee et al., 2014 [299]</w:t>
            </w:r>
          </w:p>
        </w:tc>
      </w:tr>
      <w:tr w:rsidR="00354B72" w:rsidRPr="004000AD" w14:paraId="2321AC9C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04D70794" w14:textId="1CEA1BE2" w:rsidR="00E31A4C" w:rsidRPr="003F5A28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</w:r>
            <w:r w:rsidRPr="003F5A28">
              <w:rPr>
                <w:sz w:val="22"/>
                <w:szCs w:val="22"/>
                <w:lang w:bidi="x-none"/>
              </w:rPr>
              <w:t>Tyrosine-protein kinase Fyn (</w:t>
            </w:r>
            <w:r w:rsidRPr="003F5A28">
              <w:rPr>
                <w:i/>
                <w:sz w:val="22"/>
                <w:szCs w:val="22"/>
                <w:lang w:bidi="x-none"/>
              </w:rPr>
              <w:t>Fyn</w:t>
            </w:r>
            <w:r w:rsidRPr="003F5A28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</w:tcPr>
          <w:p w14:paraId="484A67F8" w14:textId="55E3E907" w:rsidR="00E31A4C" w:rsidRPr="004000AD" w:rsidRDefault="00E31A4C" w:rsidP="006C2301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129SF2/J</w:t>
            </w:r>
          </w:p>
        </w:tc>
        <w:tc>
          <w:tcPr>
            <w:tcW w:w="1800" w:type="dxa"/>
            <w:shd w:val="clear" w:color="auto" w:fill="auto"/>
          </w:tcPr>
          <w:p w14:paraId="69837F91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74C1BBC8" w14:textId="4A263138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</w:tcPr>
          <w:p w14:paraId="711FE6B8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474DED41" w14:textId="454B343D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393AB5C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Boehm et al., 2003 [56]</w:t>
            </w:r>
          </w:p>
        </w:tc>
      </w:tr>
      <w:tr w:rsidR="00354B72" w:rsidRPr="004000AD" w14:paraId="2302670F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5DE79B63" w14:textId="5C3C6140" w:rsidR="00E31A4C" w:rsidRPr="004000AD" w:rsidRDefault="00E31A4C" w:rsidP="003F5A28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980" w:type="dxa"/>
          </w:tcPr>
          <w:p w14:paraId="19410015" w14:textId="7BB7426C" w:rsidR="00E31A4C" w:rsidRPr="004000AD" w:rsidRDefault="00E31A4C" w:rsidP="00255E00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129/</w:t>
            </w:r>
            <w:proofErr w:type="spellStart"/>
            <w:r>
              <w:rPr>
                <w:sz w:val="22"/>
                <w:szCs w:val="22"/>
                <w:lang w:bidi="x-none"/>
              </w:rPr>
              <w:t>SvJ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DACD44F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A59BAC3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— (23 h)</w:t>
            </w:r>
          </w:p>
        </w:tc>
        <w:tc>
          <w:tcPr>
            <w:tcW w:w="1890" w:type="dxa"/>
          </w:tcPr>
          <w:p w14:paraId="730B0E0F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F5E7938" w14:textId="6FE30386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65D43E4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4000AD">
              <w:rPr>
                <w:sz w:val="22"/>
                <w:szCs w:val="22"/>
                <w:lang w:bidi="x-none"/>
              </w:rPr>
              <w:t>Yaka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 xml:space="preserve"> et al., 2003 [116]</w:t>
            </w:r>
          </w:p>
        </w:tc>
      </w:tr>
      <w:tr w:rsidR="00354B72" w:rsidRPr="004000AD" w14:paraId="3D3A23BF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2E386D23" w14:textId="136BBE47" w:rsidR="00E31A4C" w:rsidRPr="004000AD" w:rsidRDefault="00E31A4C" w:rsidP="003F5A28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980" w:type="dxa"/>
          </w:tcPr>
          <w:p w14:paraId="45BFA484" w14:textId="21CE50F0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CBA</w:t>
            </w:r>
          </w:p>
        </w:tc>
        <w:tc>
          <w:tcPr>
            <w:tcW w:w="1800" w:type="dxa"/>
            <w:shd w:val="clear" w:color="auto" w:fill="auto"/>
          </w:tcPr>
          <w:p w14:paraId="64173CC2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936BBBF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 xml:space="preserve">— </w:t>
            </w:r>
          </w:p>
          <w:p w14:paraId="566083DE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ADE</w:t>
            </w:r>
          </w:p>
          <w:p w14:paraId="6A82D263" w14:textId="2528332F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post-stress</w:t>
            </w:r>
          </w:p>
        </w:tc>
        <w:tc>
          <w:tcPr>
            <w:tcW w:w="1890" w:type="dxa"/>
          </w:tcPr>
          <w:p w14:paraId="1F281AC8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7CE2018" w14:textId="0A27425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9B2036B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Cowen et al., 2003 [140]</w:t>
            </w:r>
          </w:p>
        </w:tc>
      </w:tr>
      <w:tr w:rsidR="00354B72" w:rsidRPr="004000AD" w14:paraId="4F5C73EF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7A7A243C" w14:textId="76799050" w:rsidR="00E31A4C" w:rsidRPr="004000AD" w:rsidRDefault="00E31A4C" w:rsidP="003F5A28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</w:r>
            <w:r w:rsidRPr="003F5A28">
              <w:rPr>
                <w:i/>
                <w:sz w:val="22"/>
                <w:szCs w:val="22"/>
                <w:lang w:bidi="x-none"/>
              </w:rPr>
              <w:t>Fyn</w:t>
            </w:r>
            <w:r w:rsidRPr="004000AD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1980" w:type="dxa"/>
          </w:tcPr>
          <w:p w14:paraId="3ACD076F" w14:textId="4441B938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6A30E0E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85F1C09" w14:textId="7D2AFAF6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1890" w:type="dxa"/>
          </w:tcPr>
          <w:p w14:paraId="4BDEF570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13C33CCB" w14:textId="6098401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4000213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Boehm et al., 2004 [76]</w:t>
            </w:r>
          </w:p>
        </w:tc>
      </w:tr>
      <w:tr w:rsidR="00354B72" w:rsidRPr="004000AD" w14:paraId="54F4939C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28D87A48" w14:textId="0F89CC60" w:rsidR="00E31A4C" w:rsidRPr="004000AD" w:rsidRDefault="00E31A4C" w:rsidP="003F5A28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980" w:type="dxa"/>
          </w:tcPr>
          <w:p w14:paraId="13D7E98F" w14:textId="3CAA80B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800" w:type="dxa"/>
            <w:shd w:val="clear" w:color="auto" w:fill="auto"/>
          </w:tcPr>
          <w:p w14:paraId="5D27DEC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5D9A4B3D" w14:textId="79CEE735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</w:tcPr>
          <w:p w14:paraId="54C04E1E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03453FED" w14:textId="437AB00A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2B215A2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Stork et al., 2002 [139]</w:t>
            </w:r>
          </w:p>
        </w:tc>
      </w:tr>
      <w:tr w:rsidR="00354B72" w:rsidRPr="004000AD" w14:paraId="40CA1D87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45CFBB83" w14:textId="063ABDEA" w:rsidR="00E31A4C" w:rsidRPr="003F5A28" w:rsidRDefault="00E31A4C" w:rsidP="008A5073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3F5A28">
              <w:rPr>
                <w:sz w:val="22"/>
                <w:szCs w:val="22"/>
                <w:lang w:bidi="x-none"/>
              </w:rPr>
              <w:lastRenderedPageBreak/>
              <w:t>cGMP-dependent protein kinase 2 (</w:t>
            </w:r>
            <w:r w:rsidRPr="003F5A28">
              <w:rPr>
                <w:i/>
                <w:sz w:val="22"/>
                <w:szCs w:val="22"/>
                <w:lang w:bidi="x-none"/>
              </w:rPr>
              <w:t>Prkg2</w:t>
            </w:r>
            <w:r w:rsidRPr="003F5A28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</w:tcPr>
          <w:p w14:paraId="4D596363" w14:textId="709478D0" w:rsidR="00E31A4C" w:rsidRPr="004000AD" w:rsidRDefault="00E31A4C" w:rsidP="00604BEA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</w:t>
            </w:r>
            <w:r w:rsidRPr="004000AD">
              <w:rPr>
                <w:sz w:val="22"/>
                <w:szCs w:val="22"/>
                <w:lang w:bidi="x-none"/>
              </w:rPr>
              <w:t>6N</w:t>
            </w:r>
            <w:r>
              <w:rPr>
                <w:sz w:val="22"/>
                <w:szCs w:val="22"/>
                <w:lang w:bidi="x-none"/>
              </w:rPr>
              <w:t>, 129/</w:t>
            </w:r>
            <w:proofErr w:type="spellStart"/>
            <w:r>
              <w:rPr>
                <w:sz w:val="22"/>
                <w:szCs w:val="22"/>
                <w:lang w:bidi="x-none"/>
              </w:rPr>
              <w:t>SvN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9469BC9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24D37185" w14:textId="1188DDBC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</w:tcPr>
          <w:p w14:paraId="3A613719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EB6CCC3" w14:textId="7081B09C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5DA3FB1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Werner et al., 2004 [124]</w:t>
            </w:r>
          </w:p>
        </w:tc>
      </w:tr>
      <w:tr w:rsidR="00354B72" w:rsidRPr="004000AD" w14:paraId="3A82B3F6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24DB8EAC" w14:textId="169463E5" w:rsidR="00E31A4C" w:rsidRPr="003F5A28" w:rsidRDefault="00E31A4C" w:rsidP="008A5073">
            <w:pPr>
              <w:ind w:left="261" w:right="-40" w:hanging="270"/>
              <w:rPr>
                <w:i/>
                <w:sz w:val="22"/>
                <w:szCs w:val="22"/>
                <w:lang w:bidi="x-none"/>
              </w:rPr>
            </w:pPr>
            <w:r w:rsidRPr="003F5A28">
              <w:rPr>
                <w:sz w:val="22"/>
                <w:szCs w:val="22"/>
                <w:lang w:bidi="x-none"/>
              </w:rPr>
              <w:t>Serine/threonine-protein kinase</w:t>
            </w:r>
            <w:r>
              <w:rPr>
                <w:sz w:val="22"/>
                <w:szCs w:val="22"/>
                <w:lang w:bidi="x-none"/>
              </w:rPr>
              <w:t>,</w:t>
            </w:r>
            <w:r w:rsidRPr="003F5A28">
              <w:rPr>
                <w:sz w:val="22"/>
                <w:szCs w:val="22"/>
                <w:lang w:bidi="x-none"/>
              </w:rPr>
              <w:t xml:space="preserve"> TAO2 (</w:t>
            </w:r>
            <w:r w:rsidRPr="003F5A28">
              <w:rPr>
                <w:i/>
                <w:sz w:val="22"/>
                <w:szCs w:val="22"/>
                <w:lang w:bidi="x-none"/>
              </w:rPr>
              <w:t>Taok2</w:t>
            </w:r>
            <w:r w:rsidRPr="003F5A28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</w:tcPr>
          <w:p w14:paraId="535512B4" w14:textId="41C08AE5" w:rsidR="00E31A4C" w:rsidRPr="004000AD" w:rsidRDefault="00E31A4C" w:rsidP="00610508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  <w:p w14:paraId="15FD3308" w14:textId="229CE7B5" w:rsidR="00E31A4C" w:rsidRPr="004000AD" w:rsidRDefault="00E31A4C" w:rsidP="00610508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00" w:type="dxa"/>
            <w:shd w:val="clear" w:color="auto" w:fill="auto"/>
          </w:tcPr>
          <w:p w14:paraId="2D9B6584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D9247DA" w14:textId="7BA294E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</w:tcPr>
          <w:p w14:paraId="0D77023C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FDB5A4D" w14:textId="3E8B9F9C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 </w:t>
            </w:r>
            <w:r w:rsidRPr="004000AD">
              <w:rPr>
                <w:sz w:val="22"/>
                <w:szCs w:val="22"/>
                <w:lang w:bidi="x-none"/>
              </w:rPr>
              <w:t>(4 h)</w:t>
            </w:r>
          </w:p>
        </w:tc>
        <w:tc>
          <w:tcPr>
            <w:tcW w:w="2160" w:type="dxa"/>
            <w:shd w:val="clear" w:color="auto" w:fill="auto"/>
          </w:tcPr>
          <w:p w14:paraId="0D24093A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4000AD">
              <w:rPr>
                <w:sz w:val="22"/>
                <w:szCs w:val="22"/>
                <w:lang w:bidi="x-none"/>
              </w:rPr>
              <w:t>Kapfhamer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 xml:space="preserve"> et al., 2013 [269]</w:t>
            </w:r>
          </w:p>
        </w:tc>
      </w:tr>
      <w:tr w:rsidR="00354B72" w:rsidRPr="004000AD" w14:paraId="3FEB9EB5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6B31CCDA" w14:textId="329A2B4A" w:rsidR="00E31A4C" w:rsidRPr="004000AD" w:rsidRDefault="00E31A4C" w:rsidP="006942F0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</w:r>
            <w:r w:rsidRPr="003F5A28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 xml:space="preserve">naplastic </w:t>
            </w:r>
            <w:proofErr w:type="spellStart"/>
            <w:r>
              <w:rPr>
                <w:sz w:val="22"/>
                <w:szCs w:val="22"/>
                <w:lang w:bidi="x-none"/>
              </w:rPr>
              <w:t>lymphona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kinase</w:t>
            </w:r>
            <w:r w:rsidRPr="003F5A28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t>(</w:t>
            </w:r>
            <w:proofErr w:type="spellStart"/>
            <w:r w:rsidRPr="003F5A28">
              <w:rPr>
                <w:i/>
                <w:sz w:val="22"/>
                <w:szCs w:val="22"/>
                <w:lang w:bidi="x-none"/>
              </w:rPr>
              <w:t>Alk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</w:tcPr>
          <w:p w14:paraId="708CB39D" w14:textId="57ED9AD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800" w:type="dxa"/>
            <w:shd w:val="clear" w:color="auto" w:fill="auto"/>
          </w:tcPr>
          <w:p w14:paraId="60D387F1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2E1316C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</w:tcPr>
          <w:p w14:paraId="187C5ED8" w14:textId="77777777" w:rsidR="00E31A4C" w:rsidRPr="004000AD" w:rsidRDefault="00E31A4C" w:rsidP="005138A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D5D64D3" w14:textId="299D741E" w:rsidR="00E31A4C" w:rsidRPr="004000AD" w:rsidRDefault="00E31A4C" w:rsidP="005138A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t>(4 h intermittent)</w:t>
            </w:r>
          </w:p>
        </w:tc>
        <w:tc>
          <w:tcPr>
            <w:tcW w:w="2160" w:type="dxa"/>
            <w:shd w:val="clear" w:color="auto" w:fill="auto"/>
          </w:tcPr>
          <w:p w14:paraId="72F1C3A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Lasek et al., 2011 [240]</w:t>
            </w:r>
          </w:p>
        </w:tc>
      </w:tr>
      <w:tr w:rsidR="00354B72" w:rsidRPr="004000AD" w14:paraId="4081021D" w14:textId="77777777" w:rsidTr="00354B72">
        <w:trPr>
          <w:trHeight w:val="100"/>
        </w:trPr>
        <w:tc>
          <w:tcPr>
            <w:tcW w:w="2439" w:type="dxa"/>
            <w:shd w:val="clear" w:color="auto" w:fill="auto"/>
          </w:tcPr>
          <w:p w14:paraId="71C0ED1C" w14:textId="77777777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</w:tcPr>
          <w:p w14:paraId="11555106" w14:textId="53A2BA3B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C57BL/6J</w:t>
            </w:r>
          </w:p>
        </w:tc>
        <w:tc>
          <w:tcPr>
            <w:tcW w:w="1800" w:type="dxa"/>
            <w:shd w:val="clear" w:color="auto" w:fill="auto"/>
          </w:tcPr>
          <w:p w14:paraId="11121DE3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7F11449C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</w:tcPr>
          <w:p w14:paraId="59EDFBE4" w14:textId="09A0804C" w:rsidR="00E31A4C" w:rsidRPr="004000AD" w:rsidRDefault="004931A4" w:rsidP="005138A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— </w:t>
            </w:r>
            <w:r w:rsidR="002908D2">
              <w:rPr>
                <w:sz w:val="22"/>
                <w:szCs w:val="22"/>
                <w:lang w:bidi="x-none"/>
              </w:rPr>
              <w:t xml:space="preserve">males/females </w:t>
            </w:r>
            <w:r w:rsidR="00C679F6">
              <w:rPr>
                <w:sz w:val="22"/>
                <w:szCs w:val="22"/>
                <w:lang w:bidi="x-none"/>
              </w:rPr>
              <w:t>(15%, 2 h)</w:t>
            </w:r>
          </w:p>
        </w:tc>
        <w:tc>
          <w:tcPr>
            <w:tcW w:w="1890" w:type="dxa"/>
            <w:shd w:val="clear" w:color="auto" w:fill="auto"/>
          </w:tcPr>
          <w:p w14:paraId="548208E2" w14:textId="764F43EE" w:rsidR="00E31A4C" w:rsidRPr="004000AD" w:rsidRDefault="00E31A4C" w:rsidP="005138A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B9BBBD1" w14:textId="13EF830D" w:rsidR="00E31A4C" w:rsidRPr="004000AD" w:rsidRDefault="00262B87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Schweitzer et al., 2016 [336]</w:t>
            </w:r>
          </w:p>
        </w:tc>
      </w:tr>
    </w:tbl>
    <w:p w14:paraId="7DA6D007" w14:textId="737172BC" w:rsidR="0070445D" w:rsidRPr="004000AD" w:rsidRDefault="0070445D" w:rsidP="0070445D">
      <w:r w:rsidRPr="004000AD">
        <w:t>–</w:t>
      </w:r>
      <w:proofErr w:type="gramStart"/>
      <w:r w:rsidRPr="004000AD">
        <w:t xml:space="preserve">, </w:t>
      </w:r>
      <w:proofErr w:type="gramEnd"/>
      <w:r w:rsidRPr="004000AD">
        <w:rPr>
          <w:lang w:bidi="x-none"/>
        </w:rPr>
        <w:sym w:font="Symbol" w:char="F0AF"/>
      </w:r>
      <w:r w:rsidRPr="004000AD">
        <w:rPr>
          <w:lang w:bidi="x-none"/>
        </w:rPr>
        <w:t xml:space="preserve">, </w:t>
      </w:r>
      <w:r w:rsidRPr="004000AD">
        <w:rPr>
          <w:lang w:bidi="x-none"/>
        </w:rPr>
        <w:sym w:font="Symbol" w:char="F0AD"/>
      </w:r>
      <w:r w:rsidRPr="004000AD">
        <w:rPr>
          <w:lang w:bidi="x-none"/>
        </w:rPr>
        <w:t xml:space="preserve">: </w:t>
      </w:r>
      <w:r w:rsidRPr="004000AD">
        <w:t>no significant difference, decreased ethanol intake</w:t>
      </w:r>
      <w:r w:rsidR="00175582">
        <w:t xml:space="preserve"> and/or preference</w:t>
      </w:r>
      <w:r w:rsidRPr="004000AD">
        <w:t>, or increased ethanol intake</w:t>
      </w:r>
      <w:r w:rsidR="00175582">
        <w:t xml:space="preserve"> and/or preference</w:t>
      </w:r>
      <w:r w:rsidRPr="004000AD">
        <w:t xml:space="preserve">, respectively, in </w:t>
      </w:r>
      <w:r w:rsidR="006C2301">
        <w:t>mutant</w:t>
      </w:r>
      <w:r w:rsidRPr="004000AD">
        <w:t xml:space="preserve"> </w:t>
      </w:r>
      <w:r w:rsidRPr="004000AD">
        <w:rPr>
          <w:i/>
        </w:rPr>
        <w:t>vs</w:t>
      </w:r>
      <w:r w:rsidRPr="004000AD">
        <w:t xml:space="preserve">. </w:t>
      </w:r>
      <w:proofErr w:type="spellStart"/>
      <w:r w:rsidRPr="004000AD">
        <w:t>wildtype</w:t>
      </w:r>
      <w:proofErr w:type="spellEnd"/>
      <w:r w:rsidR="006C2301">
        <w:t>/control</w:t>
      </w:r>
      <w:r w:rsidRPr="004000AD">
        <w:t xml:space="preserve"> mice. Male mice were tested unless indicated otherwise. Ethanol intake in the two-bottle choice (2BC) tests was measured in 24-h sessions, unless otherwise indicated. </w:t>
      </w:r>
      <w:r w:rsidR="008160CB">
        <w:t>S</w:t>
      </w:r>
      <w:r w:rsidR="006C2301">
        <w:t xml:space="preserve">ession times for operant </w:t>
      </w:r>
      <w:r w:rsidR="008160CB">
        <w:t xml:space="preserve">tests were 16 h, and </w:t>
      </w:r>
      <w:r w:rsidR="006C2301">
        <w:t xml:space="preserve">drinking in the dark (DID) </w:t>
      </w:r>
      <w:r w:rsidR="008160CB">
        <w:t xml:space="preserve">session times </w:t>
      </w:r>
      <w:r w:rsidR="006C2301">
        <w:t xml:space="preserve">are indicated in parenthesis. </w:t>
      </w:r>
      <w:r w:rsidR="00175582">
        <w:t xml:space="preserve">ADE, alcohol deprivation effect. </w:t>
      </w:r>
      <w:r w:rsidRPr="004000AD">
        <w:t xml:space="preserve">Recommended mouse protein and gene (in italics) names are from </w:t>
      </w:r>
      <w:proofErr w:type="spellStart"/>
      <w:r w:rsidRPr="004000AD">
        <w:t>Uniprot</w:t>
      </w:r>
      <w:proofErr w:type="spellEnd"/>
      <w:r w:rsidRPr="004000AD">
        <w:t>. B6 refers to C57BL/6J and mice.</w:t>
      </w:r>
    </w:p>
    <w:p w14:paraId="14D49579" w14:textId="77777777" w:rsidR="00DE7A93" w:rsidRDefault="00DE7A93"/>
    <w:sectPr w:rsidR="00DE7A93" w:rsidSect="00DE7A9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3"/>
    <w:rsid w:val="00041D44"/>
    <w:rsid w:val="000661A1"/>
    <w:rsid w:val="000D4B15"/>
    <w:rsid w:val="000E5456"/>
    <w:rsid w:val="000E5F1F"/>
    <w:rsid w:val="0013514A"/>
    <w:rsid w:val="001404E6"/>
    <w:rsid w:val="00175582"/>
    <w:rsid w:val="00180F6A"/>
    <w:rsid w:val="00191321"/>
    <w:rsid w:val="001A7BFD"/>
    <w:rsid w:val="0022129F"/>
    <w:rsid w:val="00255E00"/>
    <w:rsid w:val="00262B87"/>
    <w:rsid w:val="002851CC"/>
    <w:rsid w:val="002908D2"/>
    <w:rsid w:val="00354B72"/>
    <w:rsid w:val="00357D38"/>
    <w:rsid w:val="00360224"/>
    <w:rsid w:val="003A4D6C"/>
    <w:rsid w:val="003E0B7E"/>
    <w:rsid w:val="003E5C97"/>
    <w:rsid w:val="003F5A28"/>
    <w:rsid w:val="004000AD"/>
    <w:rsid w:val="00404A6D"/>
    <w:rsid w:val="00407E2A"/>
    <w:rsid w:val="0048208A"/>
    <w:rsid w:val="004931A4"/>
    <w:rsid w:val="004A42B4"/>
    <w:rsid w:val="004F1F0E"/>
    <w:rsid w:val="005034D1"/>
    <w:rsid w:val="005138AC"/>
    <w:rsid w:val="00534069"/>
    <w:rsid w:val="0054683E"/>
    <w:rsid w:val="00553770"/>
    <w:rsid w:val="005A6F12"/>
    <w:rsid w:val="005E489C"/>
    <w:rsid w:val="00604BEA"/>
    <w:rsid w:val="00610508"/>
    <w:rsid w:val="00642A21"/>
    <w:rsid w:val="006942F0"/>
    <w:rsid w:val="006A7A7F"/>
    <w:rsid w:val="006C1BFC"/>
    <w:rsid w:val="006C2301"/>
    <w:rsid w:val="006D7BB5"/>
    <w:rsid w:val="006F0CFD"/>
    <w:rsid w:val="006F1825"/>
    <w:rsid w:val="0070445D"/>
    <w:rsid w:val="007118AF"/>
    <w:rsid w:val="007825FD"/>
    <w:rsid w:val="007B6271"/>
    <w:rsid w:val="007D2646"/>
    <w:rsid w:val="008005A3"/>
    <w:rsid w:val="0081158F"/>
    <w:rsid w:val="008160CB"/>
    <w:rsid w:val="00820C2C"/>
    <w:rsid w:val="00843511"/>
    <w:rsid w:val="00874492"/>
    <w:rsid w:val="008A5073"/>
    <w:rsid w:val="008B3F0B"/>
    <w:rsid w:val="008D4FE5"/>
    <w:rsid w:val="00903E37"/>
    <w:rsid w:val="0092541C"/>
    <w:rsid w:val="009A1746"/>
    <w:rsid w:val="009A3E13"/>
    <w:rsid w:val="009B72E5"/>
    <w:rsid w:val="009E0860"/>
    <w:rsid w:val="00A704A2"/>
    <w:rsid w:val="00B02047"/>
    <w:rsid w:val="00B03E2B"/>
    <w:rsid w:val="00B45708"/>
    <w:rsid w:val="00B93077"/>
    <w:rsid w:val="00BA095A"/>
    <w:rsid w:val="00C10C76"/>
    <w:rsid w:val="00C573A3"/>
    <w:rsid w:val="00C679F6"/>
    <w:rsid w:val="00C87A09"/>
    <w:rsid w:val="00CA3A49"/>
    <w:rsid w:val="00D07FDB"/>
    <w:rsid w:val="00D8243F"/>
    <w:rsid w:val="00D83D4A"/>
    <w:rsid w:val="00DE7A93"/>
    <w:rsid w:val="00E31A4C"/>
    <w:rsid w:val="00E331BE"/>
    <w:rsid w:val="00EB0EA5"/>
    <w:rsid w:val="00EF22FF"/>
    <w:rsid w:val="00F02DA6"/>
    <w:rsid w:val="00F157FA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62A0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F5A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A28"/>
    <w:rPr>
      <w:rFonts w:ascii="Times" w:eastAsia="SimSun" w:hAnsi="Times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A28"/>
    <w:rPr>
      <w:rFonts w:ascii="Times" w:eastAsia="SimSun" w:hAnsi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2021-03-24T23:08:00Z</dcterms:created>
  <dcterms:modified xsi:type="dcterms:W3CDTF">2021-03-24T23:08:00Z</dcterms:modified>
</cp:coreProperties>
</file>